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ackground w:color="FFFFFF"/>
  <w:body>
    <w:p>
      <w:pPr>
        <w:autoSpaceDE w:val="0"/>
        <w:autoSpaceDN w:val="0"/>
        <w:adjustRightInd w:val="0"/>
        <w:jc w:val="center"/>
        <w:rPr>
          <w:rFonts w:ascii="宋体" w:eastAsia="宋体" w:cs="宋体"/>
          <w:color w:val="000000"/>
          <w:kern w:val="0"/>
          <w:sz w:val="44"/>
          <w:szCs w:val="44"/>
          <w:lang w:val="zh-CN"/>
        </w:rPr>
      </w:pPr>
    </w:p>
    <w:p>
      <w:pPr>
        <w:autoSpaceDE w:val="0"/>
        <w:autoSpaceDN w:val="0"/>
        <w:adjustRightInd w:val="0"/>
        <w:jc w:val="center"/>
        <w:rPr>
          <w:rFonts w:ascii="宋体" w:eastAsia="宋体" w:cs="宋体"/>
          <w:color w:val="000000"/>
          <w:kern w:val="0"/>
          <w:sz w:val="44"/>
          <w:szCs w:val="44"/>
          <w:lang w:val="zh-CN"/>
        </w:rPr>
      </w:pPr>
    </w:p>
    <w:p>
      <w:pPr>
        <w:autoSpaceDE w:val="0"/>
        <w:autoSpaceDN w:val="0"/>
        <w:adjustRightInd w:val="0"/>
        <w:jc w:val="center"/>
        <w:rPr>
          <w:rFonts w:ascii="宋体" w:eastAsia="宋体"/>
          <w:color w:val="000000"/>
          <w:kern w:val="0"/>
          <w:sz w:val="44"/>
          <w:szCs w:val="44"/>
          <w:lang w:val="zh-CN"/>
        </w:rPr>
      </w:pPr>
      <w:r>
        <w:rPr>
          <w:rFonts w:ascii="宋体" w:eastAsia="宋体" w:cs="宋体" w:hint="eastAsia"/>
          <w:color w:val="000000"/>
          <w:kern w:val="0"/>
          <w:sz w:val="44"/>
          <w:szCs w:val="44"/>
          <w:lang w:val="zh-CN"/>
        </w:rPr>
        <w:t>浙江省合同行为管理监督规定</w:t>
      </w:r>
    </w:p>
    <w:p>
      <w:pPr>
        <w:autoSpaceDE w:val="0"/>
        <w:autoSpaceDN w:val="0"/>
        <w:adjustRightInd w:val="0"/>
        <w:jc w:val="left"/>
        <w:rPr>
          <w:rFonts w:ascii="宋体" w:eastAsia="宋体"/>
          <w:color w:val="000000"/>
          <w:kern w:val="0"/>
          <w:lang w:val="zh-CN"/>
        </w:rPr>
      </w:pPr>
    </w:p>
    <w:p>
      <w:pPr>
        <w:ind w:leftChars="200" w:left="784" w:rightChars="168" w:right="528" w:hangingChars="50" w:hanging="156"/>
        <w:rPr>
          <w:rFonts w:ascii="楷体_GB2312" w:eastAsia="楷体_GB2312"/>
          <w:color w:val="000000"/>
          <w:kern w:val="0"/>
          <w:lang w:val="zh-CN"/>
        </w:rPr>
      </w:pPr>
      <w:r>
        <w:rPr>
          <w:rFonts w:ascii="楷体_GB2312" w:eastAsia="楷体_GB2312" w:cs="楷体_GB2312" w:hint="eastAsia"/>
          <w:color w:val="000000"/>
          <w:kern w:val="0"/>
          <w:lang w:val="zh-CN"/>
        </w:rPr>
        <w:t>（</w:t>
      </w:r>
      <w:r>
        <w:rPr>
          <w:rFonts w:ascii="楷体_GB2312" w:eastAsia="楷体_GB2312" w:cs="楷体_GB2312"/>
          <w:color w:val="000000"/>
          <w:kern w:val="0"/>
          <w:lang w:val="zh-CN"/>
        </w:rPr>
        <w:t>2002</w:t>
      </w:r>
      <w:r>
        <w:rPr>
          <w:rFonts w:ascii="楷体_GB2312" w:eastAsia="楷体_GB2312" w:cs="楷体_GB2312" w:hint="eastAsia"/>
          <w:color w:val="000000"/>
          <w:kern w:val="0"/>
          <w:lang w:val="zh-CN"/>
        </w:rPr>
        <w:t>年</w:t>
      </w:r>
      <w:r>
        <w:rPr>
          <w:rFonts w:ascii="楷体_GB2312" w:eastAsia="楷体_GB2312" w:cs="楷体_GB2312"/>
          <w:color w:val="000000"/>
          <w:kern w:val="0"/>
          <w:lang w:val="zh-CN"/>
        </w:rPr>
        <w:t>4</w:t>
      </w:r>
      <w:r>
        <w:rPr>
          <w:rFonts w:ascii="楷体_GB2312" w:eastAsia="楷体_GB2312" w:cs="楷体_GB2312" w:hint="eastAsia"/>
          <w:color w:val="000000"/>
          <w:kern w:val="0"/>
          <w:lang w:val="zh-CN"/>
        </w:rPr>
        <w:t>月</w:t>
      </w:r>
      <w:r>
        <w:rPr>
          <w:rFonts w:ascii="楷体_GB2312" w:eastAsia="楷体_GB2312" w:cs="楷体_GB2312"/>
          <w:color w:val="000000"/>
          <w:kern w:val="0"/>
          <w:lang w:val="zh-CN"/>
        </w:rPr>
        <w:t>25</w:t>
      </w:r>
      <w:r>
        <w:rPr>
          <w:rFonts w:ascii="楷体_GB2312" w:eastAsia="楷体_GB2312" w:cs="楷体_GB2312" w:hint="eastAsia"/>
          <w:color w:val="000000"/>
          <w:kern w:val="0"/>
          <w:lang w:val="zh-CN"/>
        </w:rPr>
        <w:t>日浙江省第九届人民代表大会常务委员会第三十四次</w:t>
      </w:r>
      <w:r>
        <w:rPr>
          <w:rFonts w:ascii="楷体_GB2312" w:eastAsia="楷体_GB2312" w:cs="Arial" w:hint="eastAsia"/>
          <w:shd w:val="clear" w:color="auto" w:fill="auto"/>
          <w:lang w:val="zh-CN"/>
        </w:rPr>
        <w:t>会议</w:t>
      </w:r>
      <w:r>
        <w:rPr>
          <w:rFonts w:ascii="楷体_GB2312" w:eastAsia="楷体_GB2312" w:cs="楷体_GB2312" w:hint="eastAsia"/>
          <w:color w:val="000000"/>
          <w:kern w:val="0"/>
          <w:lang w:val="zh-CN"/>
        </w:rPr>
        <w:t>通过　根据</w:t>
      </w:r>
      <w:r>
        <w:rPr>
          <w:rFonts w:ascii="楷体_GB2312" w:eastAsia="楷体_GB2312" w:cs="楷体_GB2312"/>
          <w:color w:val="000000"/>
          <w:kern w:val="0"/>
          <w:lang w:val="zh-CN"/>
        </w:rPr>
        <w:t>2011</w:t>
      </w:r>
      <w:r>
        <w:rPr>
          <w:rFonts w:ascii="楷体_GB2312" w:eastAsia="楷体_GB2312" w:cs="楷体_GB2312" w:hint="eastAsia"/>
          <w:color w:val="000000"/>
          <w:kern w:val="0"/>
          <w:lang w:val="zh-CN"/>
        </w:rPr>
        <w:t>年</w:t>
      </w:r>
      <w:r>
        <w:rPr>
          <w:rFonts w:ascii="楷体_GB2312" w:eastAsia="楷体_GB2312" w:cs="楷体_GB2312"/>
          <w:color w:val="000000"/>
          <w:kern w:val="0"/>
          <w:lang w:val="zh-CN"/>
        </w:rPr>
        <w:t>11</w:t>
      </w:r>
      <w:r>
        <w:rPr>
          <w:rFonts w:ascii="楷体_GB2312" w:eastAsia="楷体_GB2312" w:cs="楷体_GB2312" w:hint="eastAsia"/>
          <w:color w:val="000000"/>
          <w:kern w:val="0"/>
          <w:lang w:val="zh-CN"/>
        </w:rPr>
        <w:t>月</w:t>
      </w:r>
      <w:r>
        <w:rPr>
          <w:rFonts w:ascii="楷体_GB2312" w:eastAsia="楷体_GB2312" w:cs="楷体_GB2312"/>
          <w:color w:val="000000"/>
          <w:kern w:val="0"/>
          <w:lang w:val="zh-CN"/>
        </w:rPr>
        <w:t>25</w:t>
      </w:r>
      <w:r>
        <w:rPr>
          <w:rFonts w:ascii="楷体_GB2312" w:eastAsia="楷体_GB2312" w:cs="楷体_GB2312" w:hint="eastAsia"/>
          <w:color w:val="000000"/>
          <w:kern w:val="0"/>
          <w:lang w:val="zh-CN"/>
        </w:rPr>
        <w:t>日浙江省第十一届人民代表大会常务委员会第二十九次会议《关于修改〈浙江省专利保护条例〉等十四件地方性法规的决定》第一次修正</w:t>
      </w:r>
      <w:r>
        <w:rPr>
          <w:rFonts w:ascii="楷体_GB2312" w:eastAsia="楷体_GB2312" w:cs="楷体_GB2312"/>
          <w:color w:val="000000"/>
          <w:kern w:val="0"/>
          <w:lang w:val="zh-CN"/>
        </w:rPr>
        <w:t xml:space="preserve">  </w:t>
      </w:r>
      <w:r>
        <w:rPr>
          <w:rFonts w:ascii="楷体_GB2312" w:eastAsia="楷体_GB2312" w:cs="楷体_GB2312" w:hint="eastAsia"/>
          <w:color w:val="000000"/>
          <w:kern w:val="0"/>
          <w:lang w:val="zh-CN"/>
        </w:rPr>
        <w:t>根据</w:t>
      </w:r>
      <w:r>
        <w:rPr>
          <w:rFonts w:ascii="楷体_GB2312" w:eastAsia="楷体_GB2312" w:cs="楷体_GB2312"/>
          <w:color w:val="000000"/>
          <w:kern w:val="0"/>
          <w:lang w:val="zh-CN"/>
        </w:rPr>
        <w:t>2021</w:t>
      </w:r>
      <w:r>
        <w:rPr>
          <w:rFonts w:ascii="楷体_GB2312" w:eastAsia="楷体_GB2312" w:cs="楷体_GB2312" w:hint="eastAsia"/>
          <w:color w:val="000000"/>
          <w:kern w:val="0"/>
          <w:lang w:val="zh-CN"/>
        </w:rPr>
        <w:t>年</w:t>
      </w:r>
      <w:r>
        <w:rPr>
          <w:rFonts w:ascii="楷体_GB2312" w:eastAsia="楷体_GB2312" w:cs="楷体_GB2312"/>
          <w:color w:val="000000"/>
          <w:kern w:val="0"/>
          <w:lang w:val="zh-CN"/>
        </w:rPr>
        <w:t>7</w:t>
      </w:r>
      <w:r>
        <w:rPr>
          <w:rFonts w:ascii="楷体_GB2312" w:eastAsia="楷体_GB2312" w:cs="楷体_GB2312" w:hint="eastAsia"/>
          <w:color w:val="000000"/>
          <w:kern w:val="0"/>
          <w:lang w:val="zh-CN"/>
        </w:rPr>
        <w:t>月</w:t>
      </w:r>
      <w:r>
        <w:rPr>
          <w:rFonts w:ascii="楷体_GB2312" w:eastAsia="楷体_GB2312" w:cs="楷体_GB2312"/>
          <w:color w:val="000000"/>
          <w:kern w:val="0"/>
          <w:lang w:val="zh-CN"/>
        </w:rPr>
        <w:t>30</w:t>
      </w:r>
      <w:r>
        <w:rPr>
          <w:rFonts w:ascii="楷体_GB2312" w:eastAsia="楷体_GB2312" w:cs="楷体_GB2312" w:hint="eastAsia"/>
          <w:color w:val="000000"/>
          <w:kern w:val="0"/>
          <w:lang w:val="zh-CN"/>
        </w:rPr>
        <w:t>日浙江省第十三届人民代表大会常务委员会第三十次会议《关于修改〈浙江省计量监督管理条例〉等八件地方性法规的决定》第二次修正）</w:t>
      </w:r>
    </w:p>
    <w:p>
      <w:pPr>
        <w:autoSpaceDE w:val="0"/>
        <w:autoSpaceDN w:val="0"/>
        <w:adjustRightInd w:val="0"/>
        <w:jc w:val="left"/>
        <w:rPr>
          <w:rFonts w:ascii="宋体" w:eastAsia="宋体"/>
          <w:color w:val="000000"/>
          <w:kern w:val="0"/>
          <w:lang w:val="zh-CN"/>
        </w:rPr>
      </w:pPr>
    </w:p>
    <w:p>
      <w:pPr>
        <w:autoSpaceDE w:val="0"/>
        <w:autoSpaceDN w:val="0"/>
        <w:adjustRightInd w:val="0"/>
        <w:jc w:val="center"/>
        <w:rPr>
          <w:rFonts w:ascii="楷体_GB2312" w:eastAsia="楷体_GB2312" w:hint="eastAsia"/>
          <w:color w:val="000000"/>
          <w:kern w:val="0"/>
          <w:lang w:val="zh-CN"/>
        </w:rPr>
      </w:pPr>
      <w:r>
        <w:rPr>
          <w:rFonts w:ascii="楷体_GB2312" w:eastAsia="楷体_GB2312" w:cs="黑体" w:hint="eastAsia"/>
          <w:color w:val="000000"/>
          <w:kern w:val="0"/>
          <w:lang w:val="zh-CN"/>
        </w:rPr>
        <w:t>目  录</w:t>
      </w:r>
    </w:p>
    <w:p>
      <w:pPr>
        <w:autoSpaceDE w:val="0"/>
        <w:autoSpaceDN w:val="0"/>
        <w:adjustRightInd w:val="0"/>
        <w:ind w:firstLineChars="200" w:firstLine="628"/>
        <w:rPr>
          <w:rFonts w:ascii="楷体_GB2312" w:eastAsia="楷体_GB2312" w:hint="eastAsia"/>
          <w:color w:val="000000"/>
          <w:kern w:val="0"/>
          <w:lang w:val="zh-CN"/>
        </w:rPr>
      </w:pPr>
      <w:r>
        <w:rPr>
          <w:rFonts w:ascii="楷体_GB2312" w:eastAsia="楷体_GB2312" w:cs="仿宋_GB2312" w:hint="eastAsia"/>
          <w:color w:val="000000"/>
          <w:kern w:val="0"/>
          <w:lang w:val="zh-CN"/>
        </w:rPr>
        <w:t>第一章　总则</w:t>
      </w:r>
    </w:p>
    <w:p>
      <w:pPr>
        <w:autoSpaceDE w:val="0"/>
        <w:autoSpaceDN w:val="0"/>
        <w:adjustRightInd w:val="0"/>
        <w:ind w:firstLineChars="200" w:firstLine="628"/>
        <w:rPr>
          <w:rFonts w:ascii="楷体_GB2312" w:eastAsia="楷体_GB2312" w:hint="eastAsia"/>
          <w:color w:val="000000"/>
          <w:kern w:val="0"/>
          <w:lang w:val="zh-CN"/>
        </w:rPr>
      </w:pPr>
      <w:r>
        <w:rPr>
          <w:rFonts w:ascii="楷体_GB2312" w:eastAsia="楷体_GB2312" w:cs="仿宋_GB2312" w:hint="eastAsia"/>
          <w:color w:val="000000"/>
          <w:kern w:val="0"/>
          <w:lang w:val="zh-CN"/>
        </w:rPr>
        <w:t>第二章　合同指导和服务</w:t>
      </w:r>
    </w:p>
    <w:p>
      <w:pPr>
        <w:autoSpaceDE w:val="0"/>
        <w:autoSpaceDN w:val="0"/>
        <w:adjustRightInd w:val="0"/>
        <w:ind w:firstLineChars="200" w:firstLine="628"/>
        <w:rPr>
          <w:rFonts w:ascii="楷体_GB2312" w:eastAsia="楷体_GB2312" w:hint="eastAsia"/>
          <w:color w:val="000000"/>
          <w:kern w:val="0"/>
          <w:lang w:val="zh-CN"/>
        </w:rPr>
      </w:pPr>
      <w:r>
        <w:rPr>
          <w:rFonts w:ascii="楷体_GB2312" w:eastAsia="楷体_GB2312" w:cs="仿宋_GB2312" w:hint="eastAsia"/>
          <w:color w:val="000000"/>
          <w:kern w:val="0"/>
          <w:lang w:val="zh-CN"/>
        </w:rPr>
        <w:t>第三章　格式条款的监督</w:t>
      </w:r>
    </w:p>
    <w:p>
      <w:pPr>
        <w:autoSpaceDE w:val="0"/>
        <w:autoSpaceDN w:val="0"/>
        <w:adjustRightInd w:val="0"/>
        <w:ind w:firstLineChars="200" w:firstLine="628"/>
        <w:rPr>
          <w:rFonts w:ascii="楷体_GB2312" w:eastAsia="楷体_GB2312" w:hint="eastAsia"/>
          <w:color w:val="000000"/>
          <w:kern w:val="0"/>
          <w:lang w:val="zh-CN"/>
        </w:rPr>
      </w:pPr>
      <w:r>
        <w:rPr>
          <w:rFonts w:ascii="楷体_GB2312" w:eastAsia="楷体_GB2312" w:cs="仿宋_GB2312" w:hint="eastAsia"/>
          <w:color w:val="000000"/>
          <w:kern w:val="0"/>
          <w:lang w:val="zh-CN"/>
        </w:rPr>
        <w:t>第四章　利用合同违法行为的查处</w:t>
      </w:r>
    </w:p>
    <w:p>
      <w:pPr>
        <w:autoSpaceDE w:val="0"/>
        <w:autoSpaceDN w:val="0"/>
        <w:adjustRightInd w:val="0"/>
        <w:ind w:firstLineChars="200" w:firstLine="628"/>
        <w:rPr>
          <w:rFonts w:ascii="楷体_GB2312" w:eastAsia="楷体_GB2312" w:hint="eastAsia"/>
          <w:color w:val="000000"/>
          <w:kern w:val="0"/>
          <w:lang w:val="zh-CN"/>
        </w:rPr>
      </w:pPr>
      <w:r>
        <w:rPr>
          <w:rFonts w:ascii="楷体_GB2312" w:eastAsia="楷体_GB2312" w:cs="仿宋_GB2312" w:hint="eastAsia"/>
          <w:color w:val="000000"/>
          <w:kern w:val="0"/>
          <w:lang w:val="zh-CN"/>
        </w:rPr>
        <w:t>第五章　法律责任</w:t>
      </w:r>
    </w:p>
    <w:p>
      <w:pPr>
        <w:autoSpaceDE w:val="0"/>
        <w:autoSpaceDN w:val="0"/>
        <w:adjustRightInd w:val="0"/>
        <w:ind w:firstLineChars="200" w:firstLine="628"/>
        <w:rPr>
          <w:rFonts w:ascii="楷体_GB2312" w:eastAsia="楷体_GB2312" w:hint="eastAsia"/>
          <w:color w:val="000000"/>
          <w:kern w:val="0"/>
          <w:lang w:val="zh-CN"/>
        </w:rPr>
      </w:pPr>
      <w:r>
        <w:rPr>
          <w:rFonts w:ascii="楷体_GB2312" w:eastAsia="楷体_GB2312" w:cs="仿宋_GB2312" w:hint="eastAsia"/>
          <w:color w:val="000000"/>
          <w:kern w:val="0"/>
          <w:lang w:val="zh-CN"/>
        </w:rPr>
        <w:t>第六章  附则</w:t>
      </w:r>
    </w:p>
    <w:p>
      <w:pPr>
        <w:autoSpaceDE w:val="0"/>
        <w:autoSpaceDN w:val="0"/>
        <w:adjustRightInd w:val="0"/>
        <w:ind w:firstLineChars="200" w:firstLine="628"/>
        <w:rPr>
          <w:rFonts w:ascii="仿宋_GB2312"/>
          <w:color w:val="000000"/>
          <w:kern w:val="0"/>
          <w:lang w:val="zh-CN"/>
        </w:rPr>
      </w:pPr>
    </w:p>
    <w:p>
      <w:pPr>
        <w:autoSpaceDE w:val="0"/>
        <w:autoSpaceDN w:val="0"/>
        <w:adjustRightInd w:val="0"/>
        <w:jc w:val="center"/>
        <w:rPr>
          <w:rFonts w:ascii="黑体" w:eastAsia="黑体"/>
          <w:color w:val="000000"/>
          <w:kern w:val="0"/>
          <w:lang w:val="zh-CN"/>
        </w:rPr>
      </w:pPr>
      <w:r>
        <w:rPr>
          <w:rFonts w:ascii="黑体" w:eastAsia="黑体" w:cs="黑体" w:hint="eastAsia"/>
          <w:color w:val="000000"/>
          <w:kern w:val="0"/>
          <w:lang w:val="zh-CN"/>
        </w:rPr>
        <w:t>第一章　总</w:t>
      </w:r>
      <w:bookmarkStart w:id="0" w:name="_GoBack"/>
      <w:bookmarkEnd w:id="0"/>
      <w:r>
        <w:rPr>
          <w:rFonts w:ascii="黑体" w:eastAsia="黑体" w:cs="黑体" w:hint="eastAsia"/>
          <w:color w:val="000000"/>
          <w:kern w:val="0"/>
          <w:lang w:val="zh-CN"/>
        </w:rPr>
        <w:t>则</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p>
    <w:p>
      <w:pPr>
        <w:autoSpaceDE w:val="0"/>
        <w:autoSpaceDN w:val="0"/>
        <w:adjustRightInd w:val="0"/>
        <w:ind w:firstLineChars="200" w:firstLine="628"/>
        <w:jc w:val="left"/>
        <w:rPr>
          <w:rFonts w:ascii="宋体" w:eastAsia="宋体"/>
          <w:color w:val="000000"/>
          <w:kern w:val="0"/>
          <w:lang w:val="zh-CN"/>
        </w:rPr>
      </w:pPr>
      <w:r>
        <w:rPr>
          <w:rFonts w:ascii="黑体" w:eastAsia="黑体" w:cs="黑体" w:hint="eastAsia"/>
          <w:color w:val="000000"/>
          <w:kern w:val="0"/>
          <w:lang w:val="zh-CN"/>
        </w:rPr>
        <w:t>第一条</w:t>
      </w:r>
      <w:r>
        <w:rPr>
          <w:rFonts w:ascii="宋体" w:cs="仿宋_GB2312" w:hAnsi="宋体" w:hint="eastAsia"/>
          <w:color w:val="000000"/>
          <w:kern w:val="0"/>
          <w:lang w:val="zh-CN"/>
        </w:rPr>
        <w:t>　为了规范合同行为，保护国家利益、社会公共利益和当事人的合法权益，维护市场交易秩序，根据《中华人民共和国民法典》和其他有关法律、行政法规的规定，结合本省实际，制定本规定。</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第二条</w:t>
      </w:r>
      <w:r>
        <w:rPr>
          <w:rFonts w:ascii="宋体" w:cs="仿宋_GB2312" w:hAnsi="宋体" w:hint="eastAsia"/>
          <w:color w:val="000000"/>
          <w:kern w:val="0"/>
          <w:lang w:val="zh-CN"/>
        </w:rPr>
        <w:t>　本规定适用于市场监督管理部门和其他有关行政主管部门开展合同指导服务、监督合同格式条款和查处利用合同违法行为的活动。</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第三条</w:t>
      </w:r>
      <w:r>
        <w:rPr>
          <w:rFonts w:ascii="宋体" w:cs="仿宋_GB2312" w:hAnsi="宋体" w:hint="eastAsia"/>
          <w:color w:val="000000"/>
          <w:kern w:val="0"/>
          <w:lang w:val="zh-CN"/>
        </w:rPr>
        <w:t>　市场监督管理部门和其他有关行政主管部门履行服务和监督职责时，应当尊重和保护当事人依法享有的权利。</w:t>
      </w:r>
    </w:p>
    <w:p>
      <w:pPr>
        <w:autoSpaceDE w:val="0"/>
        <w:autoSpaceDN w:val="0"/>
        <w:adjustRightInd w:val="0"/>
        <w:jc w:val="center"/>
        <w:rPr>
          <w:rFonts w:ascii="黑体" w:eastAsia="黑体"/>
          <w:color w:val="000000"/>
          <w:kern w:val="0"/>
          <w:lang w:val="zh-CN"/>
        </w:rPr>
      </w:pPr>
    </w:p>
    <w:p>
      <w:pPr>
        <w:autoSpaceDE w:val="0"/>
        <w:autoSpaceDN w:val="0"/>
        <w:adjustRightInd w:val="0"/>
        <w:jc w:val="center"/>
        <w:rPr>
          <w:rFonts w:ascii="黑体" w:eastAsia="黑体"/>
          <w:color w:val="000000"/>
          <w:kern w:val="0"/>
          <w:lang w:val="zh-CN"/>
        </w:rPr>
      </w:pPr>
      <w:r>
        <w:rPr>
          <w:rFonts w:ascii="黑体" w:eastAsia="黑体" w:cs="黑体" w:hint="eastAsia"/>
          <w:color w:val="000000"/>
          <w:kern w:val="0"/>
          <w:lang w:val="zh-CN"/>
        </w:rPr>
        <w:t>第二章　合同指导和服务</w:t>
      </w:r>
    </w:p>
    <w:p>
      <w:pPr>
        <w:autoSpaceDE w:val="0"/>
        <w:autoSpaceDN w:val="0"/>
        <w:adjustRightInd w:val="0"/>
        <w:jc w:val="center"/>
        <w:rPr>
          <w:rFonts w:ascii="黑体" w:eastAsia="黑体"/>
          <w:color w:val="000000"/>
          <w:kern w:val="0"/>
          <w:lang w:val="zh-CN"/>
        </w:rPr>
      </w:pP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第四条</w:t>
      </w:r>
      <w:r>
        <w:rPr>
          <w:rFonts w:ascii="宋体" w:cs="仿宋_GB2312" w:hAnsi="宋体" w:hint="eastAsia"/>
          <w:color w:val="000000"/>
          <w:kern w:val="0"/>
          <w:lang w:val="zh-CN"/>
        </w:rPr>
        <w:t>　县级以上人民政府应当加强和推进企业信用制度建设，引导当事人自觉遵循公平和诚实信用原则。</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市场监督管理部门和其他有关行政主管部门应当做好企业信用信息的收集、整理工作，建立和完善信息公开查询系统，按规定向社会无偿提供查询服务。</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第五条</w:t>
      </w:r>
      <w:r>
        <w:rPr>
          <w:rFonts w:ascii="宋体" w:cs="仿宋_GB2312" w:hAnsi="宋体" w:hint="eastAsia"/>
          <w:color w:val="000000"/>
          <w:kern w:val="0"/>
          <w:lang w:val="zh-CN"/>
        </w:rPr>
        <w:t>　市场监督管理部门应当按规定向社会提供下列信息查询服务：</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（一）企业的工商登记情况；</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（二）经备案的含有格式条款的合同样本；</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（三）市场监督管理部门对企业违法行为的行政处罚情况；</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（四）其他能够证明企业合同信用状况的客观资料。</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第六条</w:t>
      </w:r>
      <w:r>
        <w:rPr>
          <w:rFonts w:ascii="宋体" w:cs="仿宋_GB2312" w:hAnsi="宋体" w:hint="eastAsia"/>
          <w:color w:val="000000"/>
          <w:kern w:val="0"/>
          <w:lang w:val="zh-CN"/>
        </w:rPr>
        <w:t>　社会中介机构可以依法向社会提供有关当事人合同信用状况的调查、咨询、评估等服务。</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第七条</w:t>
      </w:r>
      <w:r>
        <w:rPr>
          <w:rFonts w:ascii="宋体" w:cs="仿宋_GB2312" w:hAnsi="宋体" w:hint="eastAsia"/>
          <w:color w:val="000000"/>
          <w:kern w:val="0"/>
          <w:lang w:val="zh-CN"/>
        </w:rPr>
        <w:t>　有关行业主管部门或者行业组织可以制定合同示范文本，供当事人参照使用。</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有关行业主管部门或者行业组织制定的合同示范文本，应当报市场监督管理部门备案。</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市场监督管理部门和有关行业主管部门、行业组织应当做好合同示范文本的宣传、推广工作。</w:t>
      </w:r>
    </w:p>
    <w:p>
      <w:pPr>
        <w:autoSpaceDE w:val="0"/>
        <w:autoSpaceDN w:val="0"/>
        <w:adjustRightInd w:val="0"/>
        <w:jc w:val="center"/>
        <w:rPr>
          <w:rFonts w:ascii="黑体" w:eastAsia="黑体"/>
          <w:color w:val="000000"/>
          <w:kern w:val="0"/>
          <w:lang w:val="zh-CN"/>
        </w:rPr>
      </w:pPr>
    </w:p>
    <w:p>
      <w:pPr>
        <w:autoSpaceDE w:val="0"/>
        <w:autoSpaceDN w:val="0"/>
        <w:adjustRightInd w:val="0"/>
        <w:jc w:val="center"/>
        <w:rPr>
          <w:rFonts w:ascii="黑体" w:eastAsia="黑体"/>
          <w:color w:val="000000"/>
          <w:kern w:val="0"/>
          <w:lang w:val="zh-CN"/>
        </w:rPr>
      </w:pPr>
      <w:r>
        <w:rPr>
          <w:rFonts w:ascii="黑体" w:eastAsia="黑体" w:cs="黑体" w:hint="eastAsia"/>
          <w:color w:val="000000"/>
          <w:kern w:val="0"/>
          <w:lang w:val="zh-CN"/>
        </w:rPr>
        <w:t>第三章　格式条款的监督</w:t>
      </w:r>
    </w:p>
    <w:p>
      <w:pPr>
        <w:autoSpaceDE w:val="0"/>
        <w:autoSpaceDN w:val="0"/>
        <w:adjustRightInd w:val="0"/>
        <w:jc w:val="center"/>
        <w:rPr>
          <w:rFonts w:ascii="黑体" w:eastAsia="黑体"/>
          <w:color w:val="000000"/>
          <w:kern w:val="0"/>
          <w:lang w:val="zh-CN"/>
        </w:rPr>
      </w:pP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第八条</w:t>
      </w:r>
      <w:r>
        <w:rPr>
          <w:rFonts w:ascii="宋体" w:cs="仿宋_GB2312" w:hAnsi="宋体" w:hint="eastAsia"/>
          <w:color w:val="000000"/>
          <w:kern w:val="0"/>
          <w:lang w:val="zh-CN"/>
        </w:rPr>
        <w:t>　下列合同采用格式条款的，经营者应当在开始使用该格式条款之日起三十日内将合同样本报核发其营业执照的市场监督管理部门备案：</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（一）房屋买卖、租赁及其居间、委托合同；</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（二）物业管理、住宅装修装饰合同；</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（三）旅游合同；</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（四）供用电、水、热、气合同；</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（五）有线电视、邮政、电信合同；</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（六）消费贷款、人身财产保险合同；</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（七）旅客运输合同；</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（八）省人民政府规定应当备案的其他含有格式条款的合同。</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第九条</w:t>
      </w:r>
      <w:r>
        <w:rPr>
          <w:rFonts w:ascii="宋体" w:cs="仿宋_GB2312" w:hAnsi="宋体" w:hint="eastAsia"/>
          <w:color w:val="000000"/>
          <w:kern w:val="0"/>
          <w:lang w:val="zh-CN"/>
        </w:rPr>
        <w:t>　消费者认为格式条款不合理地免除或者减轻经营者责任、加重消费者责任、限制消费者主要权利，损害其合法权益的，可以向市场监督管理部门投诉。</w:t>
      </w:r>
    </w:p>
    <w:p>
      <w:pPr>
        <w:autoSpaceDE w:val="0"/>
        <w:autoSpaceDN w:val="0"/>
        <w:adjustRightInd w:val="0"/>
        <w:jc w:val="left"/>
        <w:rPr>
          <w:rFonts w:ascii="仿宋_GB2312"/>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第十条　</w:t>
      </w:r>
      <w:r>
        <w:rPr>
          <w:rFonts w:ascii="仿宋_GB2312" w:cs="仿宋_GB2312" w:hint="eastAsia"/>
          <w:color w:val="000000"/>
          <w:kern w:val="0"/>
          <w:lang w:val="zh-CN"/>
        </w:rPr>
        <w:t>市场监督管理部门发现格式条款不合理地免除或者减轻经营者责任、加重消费者责任、限制消费者主要权利或者有其他违反法律、法规规定的情形的，应当书面通知经营者予以修改。</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第十一条</w:t>
      </w:r>
      <w:r>
        <w:rPr>
          <w:rFonts w:ascii="宋体" w:cs="仿宋_GB2312" w:hAnsi="宋体" w:hint="eastAsia"/>
          <w:color w:val="000000"/>
          <w:kern w:val="0"/>
          <w:lang w:val="zh-CN"/>
        </w:rPr>
        <w:t>　经营者对修改通知有异议的，应当在接到修改通知之日起十五日内向市场监督管理部门申辩，并可以要求举行听证。异议应当以书面形式提出。</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经营者未提出异议的，应当在接到修改通知之日起十五日内作出修改，并将修改后的格式条款报市场监督管理部门备案。</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第十二条</w:t>
      </w:r>
      <w:r>
        <w:rPr>
          <w:rFonts w:ascii="宋体" w:cs="仿宋_GB2312" w:hAnsi="宋体" w:hint="eastAsia"/>
          <w:color w:val="000000"/>
          <w:kern w:val="0"/>
          <w:lang w:val="zh-CN"/>
        </w:rPr>
        <w:t>　市场监督管理部门对按规定报备案的格式条款发出修改通知，经营者要求听证的，市场监督管理部门应当组织听证。对其他格式条款发出修改通知，经营者要求听证的，市场监督管理部门可以根据实际情况，决定是否组织听证。</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第十三条</w:t>
      </w:r>
      <w:r>
        <w:rPr>
          <w:rFonts w:ascii="宋体" w:cs="仿宋_GB2312" w:hAnsi="宋体" w:hint="eastAsia"/>
          <w:color w:val="000000"/>
          <w:kern w:val="0"/>
          <w:lang w:val="zh-CN"/>
        </w:rPr>
        <w:t>　市场监督管理部门应当在接到经营者提出异议之日起三十日内作出书面答复。</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市场监督管理部门答复仍要求修改的，经营者应当在接到答复之日起三十日内作出修改，并将修改后的格式条款报市场监督管理部门备案。</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第十四条</w:t>
      </w:r>
      <w:r>
        <w:rPr>
          <w:rFonts w:ascii="宋体" w:cs="仿宋_GB2312" w:hAnsi="宋体" w:hint="eastAsia"/>
          <w:color w:val="000000"/>
          <w:kern w:val="0"/>
          <w:lang w:val="zh-CN"/>
        </w:rPr>
        <w:t>　经营者对有关格式条款在规定期限内拒不修改的，市场监督管理部门可以将该格式条款违反本规定的有关情况向社会公告。</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第十五条</w:t>
      </w:r>
      <w:r>
        <w:rPr>
          <w:rFonts w:ascii="宋体" w:cs="仿宋_GB2312" w:hAnsi="宋体" w:hint="eastAsia"/>
          <w:color w:val="000000"/>
          <w:kern w:val="0"/>
          <w:lang w:val="zh-CN"/>
        </w:rPr>
        <w:t>　国家行业主管部门或者行业组织提供的格式条款违反本规定的，市场监督管理部门应当提请有关行业主管部门或者行业组织处理。</w:t>
      </w:r>
    </w:p>
    <w:p>
      <w:pPr>
        <w:autoSpaceDE w:val="0"/>
        <w:autoSpaceDN w:val="0"/>
        <w:adjustRightInd w:val="0"/>
        <w:jc w:val="center"/>
        <w:rPr>
          <w:rFonts w:ascii="黑体" w:eastAsia="黑体"/>
          <w:color w:val="000000"/>
          <w:kern w:val="0"/>
          <w:lang w:val="zh-CN"/>
        </w:rPr>
      </w:pPr>
    </w:p>
    <w:p>
      <w:pPr>
        <w:autoSpaceDE w:val="0"/>
        <w:autoSpaceDN w:val="0"/>
        <w:adjustRightInd w:val="0"/>
        <w:jc w:val="center"/>
        <w:rPr>
          <w:rFonts w:ascii="黑体" w:eastAsia="黑体"/>
          <w:color w:val="000000"/>
          <w:kern w:val="0"/>
          <w:lang w:val="zh-CN"/>
        </w:rPr>
      </w:pPr>
      <w:r>
        <w:rPr>
          <w:rFonts w:ascii="黑体" w:eastAsia="黑体" w:cs="黑体" w:hint="eastAsia"/>
          <w:color w:val="000000"/>
          <w:kern w:val="0"/>
          <w:lang w:val="zh-CN"/>
        </w:rPr>
        <w:t>第四章　利用合同违法行为的查处</w:t>
      </w:r>
    </w:p>
    <w:p>
      <w:pPr>
        <w:autoSpaceDE w:val="0"/>
        <w:autoSpaceDN w:val="0"/>
        <w:adjustRightInd w:val="0"/>
        <w:jc w:val="center"/>
        <w:rPr>
          <w:rFonts w:ascii="黑体" w:eastAsia="黑体"/>
          <w:color w:val="000000"/>
          <w:kern w:val="0"/>
          <w:lang w:val="zh-CN"/>
        </w:rPr>
      </w:pP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第十六条</w:t>
      </w:r>
      <w:r>
        <w:rPr>
          <w:rFonts w:ascii="宋体" w:cs="仿宋_GB2312" w:hAnsi="宋体" w:hint="eastAsia"/>
          <w:color w:val="000000"/>
          <w:kern w:val="0"/>
          <w:lang w:val="zh-CN"/>
        </w:rPr>
        <w:t>　任何单位和个人在签订、履行合同过程中，不得从事下列违法行为：</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（一）以虚构的单位或者冒用他人名义签订合同的；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（二）以伪造、变造、作废的票据或者其他虚假的产权证明作担保的；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（三）没有实际履行能力，以先履行小额合同或者部分履行合同的方法，诱骗对方当事人继续签订和履行合同的；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（四）收受对方当事人给付的货物、货款、预付款或者担保财产后逃匿的；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（五）恶意串通，损害国家或者第三人利益的；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（六）其他以欺诈、胁迫手段订立合同，损害他人利益的。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第十七条</w:t>
      </w:r>
      <w:r>
        <w:rPr>
          <w:rFonts w:ascii="宋体" w:cs="仿宋_GB2312" w:hAnsi="宋体" w:hint="eastAsia"/>
          <w:color w:val="000000"/>
          <w:kern w:val="0"/>
          <w:lang w:val="zh-CN"/>
        </w:rPr>
        <w:t>　任何单位和个人不得在知道或者应当知道他人实施前条规定的违法行为的情况下，为其提供证明、执照、印章、账户及其他便利条件。</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第十八条</w:t>
      </w:r>
      <w:r>
        <w:rPr>
          <w:rFonts w:ascii="宋体" w:cs="仿宋_GB2312" w:hAnsi="宋体" w:hint="eastAsia"/>
          <w:color w:val="000000"/>
          <w:kern w:val="0"/>
          <w:lang w:val="zh-CN"/>
        </w:rPr>
        <w:t>　有第十六条规定的违法行为，损害国家利益或者社会公共利益的，市场监督管理部门和其他有关行政主管部门应当在各自职权范围内依法查处。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有第十六条规定的违法行为，损害合同对方当事人或者第三人合法权益的，经受害人申请，市场监督管理部门和其他有关行政主管部门应当在各自职权范围内依法查处。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第十九条</w:t>
      </w:r>
      <w:r>
        <w:rPr>
          <w:rFonts w:ascii="宋体" w:cs="仿宋_GB2312" w:hAnsi="宋体" w:hint="eastAsia"/>
          <w:color w:val="000000"/>
          <w:kern w:val="0"/>
          <w:lang w:val="zh-CN"/>
        </w:rPr>
        <w:t>　市场监督管理部门和其他有关行政主管部门在各自职权范围内查处利用合同违法行为，可以依法行使下列职权：</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（一）询问有关当事人、证明人；</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（二）查阅、复制有关的合同、发票、账册、凭证、业务函电和其他有关资料；</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（三）检查与违法行为有关的场所、财物；</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（四）在证据可能灭失或者以后难以取得的情况下，可以依法先行登记保存；</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（五）法律、行政法规规定的其他职权。</w:t>
      </w:r>
    </w:p>
    <w:p>
      <w:pPr>
        <w:autoSpaceDE w:val="0"/>
        <w:autoSpaceDN w:val="0"/>
        <w:adjustRightInd w:val="0"/>
        <w:ind w:firstLine="630"/>
        <w:jc w:val="left"/>
        <w:rPr>
          <w:rFonts w:ascii="宋体" w:eastAsia="宋体"/>
          <w:color w:val="000000"/>
          <w:kern w:val="0"/>
          <w:lang w:val="zh-CN"/>
        </w:rPr>
      </w:pPr>
      <w:r>
        <w:rPr>
          <w:rFonts w:ascii="黑体" w:eastAsia="黑体" w:cs="黑体" w:hint="eastAsia"/>
          <w:color w:val="000000"/>
          <w:kern w:val="0"/>
          <w:lang w:val="zh-CN"/>
        </w:rPr>
        <w:t>第二十条</w:t>
      </w:r>
      <w:r>
        <w:rPr>
          <w:rFonts w:ascii="宋体" w:cs="仿宋_GB2312" w:hAnsi="宋体" w:hint="eastAsia"/>
          <w:color w:val="000000"/>
          <w:kern w:val="0"/>
          <w:lang w:val="zh-CN"/>
        </w:rPr>
        <w:t>　市场监督管理部门和其他有关行政主管部门在依法查处利用合同违法行为时，发现该行为涉嫌构成犯罪的，应当依法将案件移送司法机关处理。</w:t>
      </w:r>
    </w:p>
    <w:p>
      <w:pPr>
        <w:autoSpaceDE w:val="0"/>
        <w:autoSpaceDN w:val="0"/>
        <w:adjustRightInd w:val="0"/>
        <w:ind w:firstLine="630"/>
        <w:jc w:val="left"/>
        <w:rPr>
          <w:rFonts w:ascii="宋体" w:eastAsia="宋体"/>
          <w:color w:val="000000"/>
          <w:kern w:val="0"/>
          <w:lang w:val="zh-CN"/>
        </w:rPr>
      </w:pPr>
    </w:p>
    <w:p>
      <w:pPr>
        <w:autoSpaceDE w:val="0"/>
        <w:autoSpaceDN w:val="0"/>
        <w:adjustRightInd w:val="0"/>
        <w:jc w:val="center"/>
        <w:rPr>
          <w:rFonts w:ascii="黑体" w:eastAsia="黑体"/>
          <w:color w:val="000000"/>
          <w:kern w:val="0"/>
          <w:lang w:val="zh-CN"/>
        </w:rPr>
      </w:pPr>
      <w:r>
        <w:rPr>
          <w:rFonts w:ascii="黑体" w:eastAsia="黑体" w:cs="黑体" w:hint="eastAsia"/>
          <w:color w:val="000000"/>
          <w:kern w:val="0"/>
          <w:lang w:val="zh-CN"/>
        </w:rPr>
        <w:t>第五章　法律责任</w:t>
      </w:r>
    </w:p>
    <w:p>
      <w:pPr>
        <w:autoSpaceDE w:val="0"/>
        <w:autoSpaceDN w:val="0"/>
        <w:adjustRightInd w:val="0"/>
        <w:jc w:val="left"/>
        <w:rPr>
          <w:rFonts w:ascii="宋体" w:eastAsia="宋体"/>
          <w:color w:val="000000"/>
          <w:kern w:val="0"/>
          <w:lang w:val="zh-CN"/>
        </w:rPr>
      </w:pP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第二十一条　</w:t>
      </w:r>
      <w:r>
        <w:rPr>
          <w:rFonts w:ascii="宋体" w:cs="仿宋_GB2312" w:hAnsi="宋体" w:hint="eastAsia"/>
          <w:color w:val="000000"/>
          <w:kern w:val="0"/>
          <w:lang w:val="zh-CN"/>
        </w:rPr>
        <w:t>经营者违反第八条规定的，由市场监督管理部门责令限期改正，并予警告。</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第二十二条　</w:t>
      </w:r>
      <w:r>
        <w:rPr>
          <w:rFonts w:ascii="宋体" w:cs="仿宋_GB2312" w:hAnsi="宋体" w:hint="eastAsia"/>
          <w:color w:val="000000"/>
          <w:kern w:val="0"/>
          <w:lang w:val="zh-CN"/>
        </w:rPr>
        <w:t>违反第十六条、第十七条规定，法律、法规已有行政处罚规定的，由市场监督管理部门或者其他有关行政主管部门依其规定予以处罚；法律、法规尚未规定的，市场监督管理部门根据情节轻重处一千元以上三万元以下罚款。</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利用合同违法行为的非法所得，市场监督管理部门和其他有关行政主管部门应当依法追缴，并按规定返还有关当事人。</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第二十三条　</w:t>
      </w:r>
      <w:r>
        <w:rPr>
          <w:rFonts w:ascii="宋体" w:cs="仿宋_GB2312" w:hAnsi="宋体" w:hint="eastAsia"/>
          <w:color w:val="000000"/>
          <w:kern w:val="0"/>
          <w:lang w:val="zh-CN"/>
        </w:rPr>
        <w:t>市场监督管理部门和其他有关行政主管部门的工作人员有下列行为之一的，依法给予处分：</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（一）未按规定提供企业信用信息查询服务的；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（二）违法实施行政强制措施和行政处罚的；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（三）未按规定将涉嫌刑事犯罪的合同违法案件移送司法机关的；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（四）收受贿赂的；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（五）其他滥用职权、玩忽职守、徇私舞弊的行为。</w:t>
      </w:r>
    </w:p>
    <w:p>
      <w:pPr>
        <w:autoSpaceDE w:val="0"/>
        <w:autoSpaceDN w:val="0"/>
        <w:adjustRightInd w:val="0"/>
        <w:jc w:val="center"/>
        <w:rPr>
          <w:rFonts w:ascii="黑体" w:eastAsia="黑体"/>
          <w:color w:val="000000"/>
          <w:kern w:val="0"/>
          <w:lang w:val="zh-CN"/>
        </w:rPr>
      </w:pPr>
    </w:p>
    <w:p>
      <w:pPr>
        <w:autoSpaceDE w:val="0"/>
        <w:autoSpaceDN w:val="0"/>
        <w:adjustRightInd w:val="0"/>
        <w:jc w:val="center"/>
        <w:rPr>
          <w:rFonts w:ascii="黑体" w:eastAsia="黑体"/>
          <w:color w:val="000000"/>
          <w:kern w:val="0"/>
          <w:lang w:val="zh-CN"/>
        </w:rPr>
      </w:pPr>
      <w:r>
        <w:rPr>
          <w:rFonts w:ascii="黑体" w:eastAsia="黑体" w:cs="黑体" w:hint="eastAsia"/>
          <w:color w:val="000000"/>
          <w:kern w:val="0"/>
          <w:lang w:val="zh-CN"/>
        </w:rPr>
        <w:t>第六章　附则</w:t>
      </w:r>
    </w:p>
    <w:p>
      <w:pPr>
        <w:autoSpaceDE w:val="0"/>
        <w:autoSpaceDN w:val="0"/>
        <w:adjustRightInd w:val="0"/>
        <w:jc w:val="center"/>
        <w:rPr>
          <w:rFonts w:ascii="黑体" w:eastAsia="黑体"/>
          <w:color w:val="000000"/>
          <w:kern w:val="0"/>
          <w:lang w:val="zh-CN"/>
        </w:rPr>
      </w:pPr>
    </w:p>
    <w:p>
      <w:pPr>
        <w:autoSpaceDE w:val="0"/>
        <w:autoSpaceDN w:val="0"/>
        <w:adjustRightInd w:val="0"/>
        <w:jc w:val="left"/>
        <w:rPr>
          <w:rFonts w:ascii="仿宋_GB2312" w:hint="eastAsia"/>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第二十四条</w:t>
      </w:r>
      <w:r>
        <w:rPr>
          <w:rFonts w:ascii="宋体" w:cs="仿宋_GB2312" w:hAnsi="宋体" w:hint="eastAsia"/>
          <w:color w:val="000000"/>
          <w:kern w:val="0"/>
          <w:lang w:val="zh-CN"/>
        </w:rPr>
        <w:t>　</w:t>
      </w:r>
      <w:r>
        <w:rPr>
          <w:rFonts w:ascii="仿宋_GB2312" w:cs="仿宋_GB2312" w:hint="eastAsia"/>
          <w:color w:val="000000"/>
          <w:kern w:val="0"/>
          <w:lang w:val="zh-CN"/>
        </w:rPr>
        <w:t>本规定自</w:t>
      </w:r>
      <w:r>
        <w:rPr>
          <w:rFonts w:ascii="仿宋_GB2312" w:cs="宋体" w:hint="eastAsia"/>
          <w:color w:val="000000"/>
          <w:kern w:val="0"/>
          <w:lang w:val="zh-CN"/>
        </w:rPr>
        <w:t>2002</w:t>
      </w:r>
      <w:r>
        <w:rPr>
          <w:rFonts w:ascii="仿宋_GB2312" w:cs="仿宋_GB2312" w:hint="eastAsia"/>
          <w:color w:val="000000"/>
          <w:kern w:val="0"/>
          <w:lang w:val="zh-CN"/>
        </w:rPr>
        <w:t>年</w:t>
      </w:r>
      <w:r>
        <w:rPr>
          <w:rFonts w:ascii="仿宋_GB2312" w:cs="宋体" w:hint="eastAsia"/>
          <w:color w:val="000000"/>
          <w:kern w:val="0"/>
          <w:lang w:val="zh-CN"/>
        </w:rPr>
        <w:t>10</w:t>
      </w:r>
      <w:r>
        <w:rPr>
          <w:rFonts w:ascii="仿宋_GB2312" w:cs="仿宋_GB2312" w:hint="eastAsia"/>
          <w:color w:val="000000"/>
          <w:kern w:val="0"/>
          <w:lang w:val="zh-CN"/>
        </w:rPr>
        <w:t>月</w:t>
      </w:r>
      <w:r>
        <w:rPr>
          <w:rFonts w:ascii="仿宋_GB2312" w:cs="宋体" w:hint="eastAsia"/>
          <w:color w:val="000000"/>
          <w:kern w:val="0"/>
          <w:lang w:val="zh-CN"/>
        </w:rPr>
        <w:t>1</w:t>
      </w:r>
      <w:r>
        <w:rPr>
          <w:rFonts w:ascii="仿宋_GB2312" w:cs="仿宋_GB2312" w:hint="eastAsia"/>
          <w:color w:val="000000"/>
          <w:kern w:val="0"/>
          <w:lang w:val="zh-CN"/>
        </w:rPr>
        <w:t>日起施行。</w:t>
      </w:r>
    </w:p>
    <w:sectPr>
      <w:footerReference w:type="default" r:id="rId2"/>
      <w:footerReference w:type="even" r:id="rId3"/>
      <w:pgSz w:w="11906" w:h="16838"/>
      <w:pgMar w:top="2013" w:right="1474" w:bottom="1899" w:left="1588" w:header="851" w:footer="1037" w:gutter="0"/>
      <w:docGrid w:type="linesAndChars" w:linePitch="590" w:charSpace="1227"/>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080E0000" w:usb2="00000010" w:usb3="00000000" w:csb0="00040001" w:csb1="00000000"/>
  </w:font>
  <w:font w:name="楷体_GB2312">
    <w:altName w:val="楷体"/>
    <w:panose1 w:val="02010609030101010101"/>
    <w:charset w:val="86"/>
    <w:family w:val="modern"/>
    <w:pitch w:val="variable"/>
    <w:sig w:usb0="00000001" w:usb1="080E0000" w:usb2="00000010" w:usb3="00000000" w:csb0="00040000" w:csb1="00000000"/>
  </w:font>
  <w:font w:name="Arial">
    <w:panose1 w:val="020B0604020202020204"/>
    <w:charset w:val="00"/>
    <w:family w:val="auto"/>
    <w:pitch w:val="variable"/>
    <w:sig w:usb0="00007A87" w:usb1="80000000" w:usb2="00000008" w:usb3="00000000" w:csb0="400001FF" w:csb1="FFFF0000"/>
  </w:font>
  <w:font w:name="黑体">
    <w:altName w:val="SimHei"/>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Luxi Sans">
    <w:panose1 w:val="020B0600000000000000"/>
    <w:charset w:val="00"/>
    <w:family w:val="auto"/>
    <w:pitch w:val="variable"/>
    <w:sig w:usb0="00000007" w:usb1="00000000" w:usb2="00000000" w:usb3="00000000" w:csb0="00000093" w:csb1="00000000"/>
  </w:font>
  <w:font w:name="方正黑体_GBK">
    <w:altName w:val="黑体"/>
    <w:panose1 w:val="00000000000000000000"/>
    <w:charset w:val="86"/>
    <w:family w:val="auto"/>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wordWrap w:val="0"/>
      <w:overflowPunct w:val="0"/>
      <w:autoSpaceDE w:val="0"/>
      <w:autoSpaceDN w:val="0"/>
      <w:spacing w:line="478" w:lineRule="auto"/>
      <w:ind w:rightChars="100" w:right="308"/>
      <w:jc w:val="right"/>
      <w:rPr>
        <w:rFonts w:ascii="楷体_GB2312" w:eastAsia="楷体_GB2312"/>
        <w:sz w:val="28"/>
        <w:szCs w:val="28"/>
      </w:rPr>
    </w:pPr>
    <w:r>
      <w:rPr>
        <w:rStyle w:val="17"/>
        <w:rFonts w:ascii="宋体" w:eastAsia="宋体" w:cs="宋体"/>
        <w:sz w:val="28"/>
        <w:szCs w:val="28"/>
      </w:rPr>
      <w:t xml:space="preserve">— </w:t>
    </w:r>
    <w:r>
      <w:rPr>
        <w:rStyle w:val="17"/>
        <w:rFonts w:ascii="宋体" w:eastAsia="宋体" w:cs="宋体"/>
        <w:sz w:val="28"/>
        <w:szCs w:val="28"/>
      </w:rPr>
      <w:fldChar w:fldCharType="begin"/>
    </w:r>
    <w:r>
      <w:rPr>
        <w:rStyle w:val="17"/>
        <w:rFonts w:ascii="宋体" w:eastAsia="宋体" w:cs="宋体"/>
        <w:sz w:val="28"/>
        <w:szCs w:val="28"/>
      </w:rPr>
      <w:instrText xml:space="preserve"> PAGE \* MERGEFORMAT </w:instrText>
    </w:r>
    <w:r>
      <w:rPr>
        <w:rStyle w:val="17"/>
        <w:rFonts w:ascii="宋体" w:eastAsia="宋体" w:cs="宋体"/>
        <w:sz w:val="28"/>
        <w:szCs w:val="28"/>
      </w:rPr>
      <w:fldChar w:fldCharType="separate"/>
    </w:r>
    <w:r>
      <w:t>7</w:t>
    </w:r>
    <w:r>
      <w:rPr>
        <w:rStyle w:val="17"/>
        <w:rFonts w:ascii="宋体" w:eastAsia="宋体" w:cs="宋体"/>
        <w:sz w:val="28"/>
        <w:szCs w:val="28"/>
      </w:rPr>
      <w:fldChar w:fldCharType="end"/>
    </w:r>
    <w:r>
      <w:rPr>
        <w:rStyle w:val="17"/>
        <w:rFonts w:ascii="宋体" w:eastAsia="宋体" w:cs="宋体"/>
        <w:sz w:val="28"/>
        <w:szCs w:val="28"/>
      </w:rPr>
      <w:t>—</w: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spacing w:line="470" w:lineRule="auto"/>
      <w:ind w:leftChars="100" w:left="308"/>
      <w:jc w:val="left"/>
      <w:rPr>
        <w:rStyle w:val="17"/>
        <w:rFonts w:ascii="宋体" w:eastAsia="宋体" w:cs="宋体"/>
        <w:sz w:val="28"/>
        <w:szCs w:val="28"/>
      </w:rPr>
    </w:pPr>
    <w:r>
      <w:rPr>
        <w:rStyle w:val="17"/>
        <w:rFonts w:ascii="宋体" w:eastAsia="宋体" w:cs="宋体"/>
        <w:sz w:val="28"/>
        <w:szCs w:val="28"/>
      </w:rPr>
      <w:t xml:space="preserve">— </w:t>
    </w:r>
    <w:r>
      <w:rPr>
        <w:rStyle w:val="17"/>
        <w:rFonts w:ascii="宋体" w:eastAsia="宋体" w:cs="宋体"/>
        <w:sz w:val="28"/>
        <w:szCs w:val="28"/>
      </w:rPr>
      <w:fldChar w:fldCharType="begin"/>
    </w:r>
    <w:r>
      <w:rPr>
        <w:rStyle w:val="17"/>
        <w:rFonts w:ascii="宋体" w:eastAsia="宋体" w:cs="宋体"/>
        <w:sz w:val="28"/>
        <w:szCs w:val="28"/>
      </w:rPr>
      <w:instrText xml:space="preserve"> PAGE </w:instrText>
    </w:r>
    <w:r>
      <w:rPr>
        <w:rStyle w:val="17"/>
        <w:rFonts w:ascii="宋体" w:eastAsia="宋体" w:cs="宋体"/>
        <w:sz w:val="28"/>
        <w:szCs w:val="28"/>
      </w:rPr>
      <w:fldChar w:fldCharType="separate"/>
    </w:r>
    <w:r>
      <w:rPr>
        <w:rStyle w:val="17"/>
        <w:rFonts w:ascii="宋体" w:eastAsia="宋体" w:cs="宋体"/>
        <w:sz w:val="28"/>
        <w:szCs w:val="28"/>
      </w:rPr>
      <w:t>6</w:t>
    </w:r>
    <w:r>
      <w:rPr>
        <w:rStyle w:val="17"/>
        <w:rFonts w:ascii="宋体" w:eastAsia="宋体" w:cs="宋体"/>
        <w:sz w:val="28"/>
        <w:szCs w:val="28"/>
      </w:rPr>
      <w:fldChar w:fldCharType="end"/>
    </w:r>
    <w:r>
      <w:rPr>
        <w:rStyle w:val="17"/>
        <w:rFonts w:ascii="宋体" w:eastAsia="宋体" w:cs="宋体"/>
        <w:sz w:val="28"/>
        <w:szCs w:val="28"/>
      </w:rPr>
      <w:t>—</w: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4E8D487"/>
    <w:multiLevelType w:val="multilevel"/>
    <w:tmpl w:val="00000009"/>
    <w:lvl w:ilvl="0">
      <w:start w:val="1"/>
      <w:numFmt w:val="chineseCountingThousand"/>
      <w:lvlRestart w:val="0"/>
      <w:pStyle w:val="21"/>
      <w:suff w:val="space"/>
      <w:lvlText w:val="第%1章"/>
      <w:lvlJc w:val="left"/>
      <w:pPr>
        <w:tabs>
          <w:tab w:val="num" w:pos="0"/>
        </w:tabs>
        <w:ind w:left="0" w:firstLine="454"/>
      </w:pPr>
      <w:rPr>
        <w:rFonts w:eastAsia="方正黑体_GBK" w:hint="eastAsia"/>
        <w:color w:val="auto"/>
      </w:rPr>
    </w:lvl>
    <w:lvl w:ilvl="1">
      <w:start w:val="1"/>
      <w:numFmt w:val="chineseCountingThousand"/>
      <w:suff w:val="space"/>
      <w:lvlText w:val="第%2条"/>
      <w:lvlJc w:val="left"/>
      <w:pPr>
        <w:tabs>
          <w:tab w:val="num" w:pos="0"/>
        </w:tabs>
        <w:ind w:left="0" w:hanging="0"/>
      </w:pPr>
      <w:rPr>
        <w:rFonts w:eastAsia="方正黑体_GBK" w:hint="eastAsia"/>
        <w:color w:val="auto"/>
      </w:rPr>
    </w:lvl>
    <w:lvl w:ilvl="2">
      <w:start w:val="1"/>
      <w:numFmt w:val="chineseCountingThousand"/>
      <w:suff w:val="space"/>
      <w:lvlText w:val="第%3条"/>
      <w:lvlJc w:val="left"/>
      <w:pPr>
        <w:tabs>
          <w:tab w:val="num" w:pos="0"/>
        </w:tabs>
        <w:ind w:left="0" w:firstLine="454"/>
      </w:pPr>
      <w:rPr>
        <w:rFonts w:hint="eastAsia"/>
        <w:color w:val="auto"/>
      </w:rPr>
    </w:lvl>
    <w:lvl w:ilvl="3">
      <w:start w:val="1"/>
      <w:numFmt w:val="chineseCountingThousand"/>
      <w:suff w:val="space"/>
      <w:lvlText w:val="（%4）"/>
      <w:lvlJc w:val="left"/>
      <w:pPr>
        <w:tabs>
          <w:tab w:val="num" w:pos="0"/>
        </w:tabs>
        <w:ind w:left="0" w:firstLine="340"/>
      </w:pPr>
      <w:rPr>
        <w:rFonts w:hint="eastAsia"/>
        <w:color w:val="auto"/>
      </w:rPr>
    </w:lvl>
    <w:lvl w:ilvl="4">
      <w:start w:val="1"/>
      <w:numFmt w:val="decimal"/>
      <w:suff w:val="space"/>
      <w:lvlText w:val="%5．"/>
      <w:lvlJc w:val="left"/>
      <w:pPr>
        <w:tabs>
          <w:tab w:val="num" w:pos="0"/>
        </w:tabs>
        <w:ind w:left="0" w:firstLine="454"/>
      </w:pPr>
      <w:rPr>
        <w:rFonts w:hint="eastAsia"/>
        <w:color w:val="auto"/>
      </w:rPr>
    </w:lvl>
    <w:lvl w:ilvl="5">
      <w:start w:val="1"/>
      <w:numFmt w:val="decimal"/>
      <w:suff w:val="space"/>
      <w:lvlText w:val="（%6）"/>
      <w:lvlJc w:val="left"/>
      <w:pPr>
        <w:tabs>
          <w:tab w:val="num" w:pos="0"/>
        </w:tabs>
        <w:ind w:left="0" w:firstLine="340"/>
      </w:pPr>
      <w:rPr>
        <w:rFonts w:hint="eastAsia"/>
        <w:color w:val="auto"/>
      </w:rPr>
    </w:lvl>
    <w:lvl w:ilvl="6">
      <w:start w:val="1"/>
      <w:numFmt w:val="decimalEnclosedCircle"/>
      <w:suff w:val="space"/>
      <w:lvlText w:val="%7 "/>
      <w:lvlJc w:val="left"/>
      <w:pPr>
        <w:tabs>
          <w:tab w:val="num" w:pos="0"/>
        </w:tabs>
        <w:ind w:left="0" w:firstLine="454"/>
      </w:pPr>
      <w:rPr>
        <w:rFonts w:hint="eastAsia"/>
        <w:color w:val="auto"/>
      </w:rPr>
    </w:lvl>
    <w:lvl w:ilvl="7">
      <w:start w:val="1"/>
      <w:numFmt w:val="decimal"/>
      <w:suff w:val="space"/>
      <w:lvlText w:val="%8）"/>
      <w:lvlJc w:val="left"/>
      <w:pPr>
        <w:tabs>
          <w:tab w:val="num" w:pos="0"/>
        </w:tabs>
        <w:ind w:left="0" w:firstLine="454"/>
      </w:pPr>
      <w:rPr>
        <w:rFonts w:hint="eastAsia"/>
        <w:color w:val="auto"/>
      </w:rPr>
    </w:lvl>
    <w:lvl w:ilvl="8">
      <w:start w:val="1"/>
      <w:numFmt w:val="none"/>
      <w:suff w:val="space"/>
      <w:lvlText w:val="a．"/>
      <w:lvlJc w:val="left"/>
      <w:pPr>
        <w:tabs>
          <w:tab w:val="num" w:pos="0"/>
        </w:tabs>
        <w:ind w:left="0" w:firstLine="454"/>
      </w:pPr>
      <w:rPr>
        <w:rFonts w:hint="eastAsia"/>
        <w:color w:val="auto"/>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720"/>
  <w:evenAndOddHeaders/>
  <w:drawingGridHorizontalSpacing w:val="308"/>
  <w:drawingGridVerticalSpacing w:val="295"/>
  <w:displayHorizontalDrawingGridEvery w:val="0"/>
  <w:displayVerticalDrawingGridEvery w:val="1"/>
  <w:noPunctuationKerning/>
  <w:characterSpacingControl w:val="compressPunctuation"/>
  <w:noLineBreaksAfter w:lang="zh-CN" w:val="$([{£¥·‘“〈《「『【〔〖〝﹙﹛﹝＄（．［｛￡￥"/>
  <w:noLineBreaksBefore w:lang="zh-CN" w:val="!%),.:;&gt;?]}¢¨°·ˇˉ―‖’”…‰′″›℃∶、。〃〉》」』】〕〗〞︶︺︾﹀﹄﹚﹜﹞！＂％＇），．：；？］｀｜｝～￠"/>
  <w:compat>
    <w:spaceForUL/>
    <w:balanceSingleByteDoubleByteWidth/>
    <w:doNotExpandShiftReturn/>
    <w:adjustLineHeightInTable/>
    <w:doNotUseIndentAsNumberingTabStop/>
    <w:useAltKinsokuLineBreakRules/>
    <w:splitPgBreakAndParaMark/>
    <w:compatSetting w:name="compatibilityMode" w:uri="http://schemas.microsoft.com/office/word" w:val="12"/>
  </w:compat>
  <w:docVars>
    <w:docVar w:name="iDocStyle" w:val="2"/>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tLeast"/>
      <w:jc w:val="both"/>
    </w:pPr>
    <w:rPr>
      <w:rFonts w:ascii="Times New Roman" w:eastAsia="仿宋_GB2312" w:cs="Times New Roman" w:hAnsi="Times New Roman"/>
      <w:spacing w:val="-6"/>
      <w:kern w:val="2"/>
      <w:sz w:val="32"/>
      <w:szCs w:val="3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overflowPunct w:val="0"/>
      <w:autoSpaceDE w:val="0"/>
      <w:autoSpaceDN w:val="0"/>
      <w:adjustRightInd w:val="0"/>
      <w:textAlignment w:val="baseline"/>
    </w:pPr>
    <w:rPr>
      <w:sz w:val="20"/>
      <w:szCs w:val="20"/>
    </w:rPr>
  </w:style>
  <w:style w:type="paragraph" w:styleId="16">
    <w:name w:val="header"/>
    <w:basedOn w:val="0"/>
    <w:pPr>
      <w:tabs>
        <w:tab w:val="center" w:pos="4153"/>
        <w:tab w:val="right" w:pos="8306"/>
      </w:tabs>
      <w:overflowPunct w:val="0"/>
      <w:autoSpaceDE w:val="0"/>
      <w:autoSpaceDN w:val="0"/>
      <w:adjustRightInd w:val="0"/>
      <w:textAlignment w:val="baseline"/>
    </w:pPr>
    <w:rPr>
      <w:sz w:val="20"/>
      <w:szCs w:val="20"/>
    </w:rPr>
  </w:style>
  <w:style w:type="character" w:styleId="17">
    <w:name w:val="page number"/>
    <w:basedOn w:val="10"/>
  </w:style>
  <w:style w:type="character" w:styleId="18">
    <w:name w:val="FollowedHyperlink"/>
    <w:basedOn w:val="10"/>
    <w:rPr>
      <w:color w:val="800080"/>
      <w:sz w:val="18"/>
      <w:szCs w:val="18"/>
      <w:u w:val="none"/>
    </w:rPr>
  </w:style>
  <w:style w:type="character" w:styleId="19">
    <w:name w:val="line number"/>
    <w:basedOn w:val="10"/>
  </w:style>
  <w:style w:type="character" w:styleId="20">
    <w:name w:val="Hyperlink"/>
    <w:basedOn w:val="10"/>
    <w:rPr>
      <w:color w:val="0000FF"/>
      <w:sz w:val="18"/>
      <w:szCs w:val="18"/>
      <w:u w:val="none"/>
    </w:rPr>
  </w:style>
  <w:style w:type="paragraph" w:customStyle="1" w:styleId="21">
    <w:name w:val="居中"/>
    <w:basedOn w:val="0"/>
    <w:pPr>
      <w:numPr>
        <w:ilvl w:val="0"/>
        <w:numId w:val="1"/>
      </w:numPr>
    </w:pPr>
  </w:style>
  <w:style w:type="paragraph" w:customStyle="1" w:styleId="22">
    <w:name w:val="列出段落1"/>
    <w:basedOn w:val="0"/>
    <w:pPr>
      <w:ind w:firstLineChars="200" w:firstLine="200"/>
    </w:pPr>
  </w:style>
  <w:style w:type="character" w:customStyle="1" w:styleId="23">
    <w:name w:val="red"/>
    <w:basedOn w:val="10"/>
    <w:rPr>
      <w:color w:val="FF0000"/>
      <w:sz w:val="21"/>
      <w:szCs w:val="21"/>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42</TotalTime>
  <Application>Yozo_Office27021597764231179</Application>
  <Pages>7</Pages>
  <Words>2673</Words>
  <Characters>2690</Characters>
  <Lines>153</Lines>
  <Paragraphs>74</Paragraphs>
  <CharactersWithSpaces>2848</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title>No:0000001</dc:title>
  <dc:creator>shy</dc:creator>
  <cp:lastModifiedBy>zjrd</cp:lastModifiedBy>
  <cp:revision>9</cp:revision>
  <dcterms:created xsi:type="dcterms:W3CDTF">2017-01-11T09:18:00Z</dcterms:created>
  <dcterms:modified xsi:type="dcterms:W3CDTF">2021-08-05T03:19:54Z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2052-10.1.0.6135</vt:lpwstr>
  </property>
  <property fmtid="{D5CDD505-2E9C-101B-9397-08002B2CF9AE}" pid="3" name="公文模板版本">
    <vt:lpwstr>20160721</vt:lpwstr>
  </property>
</Properties>
</file>